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71" w:rsidRDefault="008973CA" w:rsidP="008973C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nr.____________</w:t>
      </w:r>
    </w:p>
    <w:p w:rsidR="008973CA" w:rsidRDefault="008973CA" w:rsidP="008973C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din____________202</w:t>
      </w:r>
      <w:r w:rsidR="00EC366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973CA" w:rsidRDefault="008973CA" w:rsidP="008973C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DECIZIE</w:t>
      </w:r>
    </w:p>
    <w:p w:rsidR="008973CA" w:rsidRDefault="008973CA" w:rsidP="008973CA">
      <w:pPr>
        <w:pStyle w:val="a3"/>
        <w:jc w:val="left"/>
        <w:rPr>
          <w:rFonts w:ascii="Times New Roman" w:hAnsi="Times New Roman" w:cs="Times New Roman"/>
          <w:sz w:val="24"/>
          <w:szCs w:val="24"/>
          <w:lang w:val="ro-RO"/>
        </w:rPr>
      </w:pPr>
    </w:p>
    <w:p w:rsidR="008408EE" w:rsidRDefault="008408EE" w:rsidP="008973CA">
      <w:pPr>
        <w:pStyle w:val="a3"/>
        <w:jc w:val="left"/>
        <w:rPr>
          <w:rFonts w:ascii="Times New Roman" w:hAnsi="Times New Roman" w:cs="Times New Roman"/>
          <w:sz w:val="24"/>
          <w:szCs w:val="24"/>
          <w:lang w:val="ro-RO"/>
        </w:rPr>
      </w:pPr>
    </w:p>
    <w:p w:rsidR="008973CA" w:rsidRDefault="008973CA" w:rsidP="008973CA">
      <w:pPr>
        <w:pStyle w:val="a3"/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privire la aprobarea personalului suplimentar</w:t>
      </w:r>
    </w:p>
    <w:p w:rsidR="008973CA" w:rsidRDefault="008973CA" w:rsidP="008973CA">
      <w:pPr>
        <w:pStyle w:val="a3"/>
        <w:jc w:val="left"/>
        <w:rPr>
          <w:rFonts w:ascii="Times New Roman" w:hAnsi="Times New Roman" w:cs="Times New Roman"/>
          <w:sz w:val="24"/>
          <w:szCs w:val="24"/>
          <w:lang w:val="ro-RO"/>
        </w:rPr>
      </w:pPr>
    </w:p>
    <w:p w:rsidR="008408EE" w:rsidRDefault="008408EE" w:rsidP="008973CA">
      <w:pPr>
        <w:pStyle w:val="a3"/>
        <w:jc w:val="left"/>
        <w:rPr>
          <w:rFonts w:ascii="Times New Roman" w:hAnsi="Times New Roman" w:cs="Times New Roman"/>
          <w:sz w:val="24"/>
          <w:szCs w:val="24"/>
          <w:lang w:val="ro-RO"/>
        </w:rPr>
      </w:pPr>
    </w:p>
    <w:p w:rsidR="008408EE" w:rsidRDefault="008408EE" w:rsidP="00EC3660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lang w:val="ro-RO"/>
        </w:rPr>
      </w:pPr>
    </w:p>
    <w:p w:rsidR="008973CA" w:rsidRDefault="008973CA" w:rsidP="008973CA">
      <w:pPr>
        <w:pStyle w:val="a3"/>
        <w:jc w:val="left"/>
        <w:rPr>
          <w:rFonts w:ascii="Times New Roman" w:hAnsi="Times New Roman" w:cs="Times New Roman"/>
          <w:sz w:val="24"/>
          <w:szCs w:val="24"/>
          <w:lang w:val="ro-RO"/>
        </w:rPr>
      </w:pPr>
    </w:p>
    <w:p w:rsidR="008973CA" w:rsidRDefault="008973CA" w:rsidP="008973CA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art.18, art.20, art.41 al Legii nr.100 din 22.12.2017 "Cu privire la actele normative", art.14 alin.(2)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lit.l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) din Legea privind administrația publică locală nr.463-XVI din 28.12.2006; art.7 și anexa nr.3 și nr.10 din Legea privind sistemul unitar de salarizare în sectorul bugetar nr.270 din 23.11.2018, pentru reglementarea conformă a prevederilor Hotărârii Guvernului nr.1231 din 12.12.2018 pentru punerea în aplicare a prevederilor Legii nr.270/2018 privind sistemul unitar de salarizare în sectorul bugetar, în vederea executării procedurilor stabilite privind drepturile salariale în raport cu ierarhia</w:t>
      </w:r>
      <w:r w:rsidR="006030A6">
        <w:rPr>
          <w:rFonts w:ascii="Times New Roman" w:hAnsi="Times New Roman" w:cs="Times New Roman"/>
          <w:sz w:val="24"/>
          <w:szCs w:val="24"/>
          <w:lang w:val="ro-RO"/>
        </w:rPr>
        <w:t xml:space="preserve"> funcțiilor din sistemul bugetar și asigurarea salarizării personalului instituției conform cadrului legal stabilit; Decizia nr.</w:t>
      </w:r>
      <w:r w:rsidR="00A052A6">
        <w:rPr>
          <w:rFonts w:ascii="Times New Roman" w:hAnsi="Times New Roman" w:cs="Times New Roman"/>
          <w:sz w:val="24"/>
          <w:szCs w:val="24"/>
          <w:lang w:val="ro-RO"/>
        </w:rPr>
        <w:t>2.1</w:t>
      </w:r>
      <w:r w:rsidR="006030A6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A052A6">
        <w:rPr>
          <w:rFonts w:ascii="Times New Roman" w:hAnsi="Times New Roman" w:cs="Times New Roman"/>
          <w:sz w:val="24"/>
          <w:szCs w:val="24"/>
          <w:lang w:val="ro-RO"/>
        </w:rPr>
        <w:t>05.03.2020</w:t>
      </w:r>
      <w:r w:rsidR="006030A6">
        <w:rPr>
          <w:rFonts w:ascii="Times New Roman" w:hAnsi="Times New Roman" w:cs="Times New Roman"/>
          <w:sz w:val="24"/>
          <w:szCs w:val="24"/>
          <w:lang w:val="ro-RO"/>
        </w:rPr>
        <w:t xml:space="preserve"> "</w:t>
      </w:r>
      <w:r w:rsidR="00A052A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030A6">
        <w:rPr>
          <w:rFonts w:ascii="Times New Roman" w:hAnsi="Times New Roman" w:cs="Times New Roman"/>
          <w:sz w:val="24"/>
          <w:szCs w:val="24"/>
          <w:lang w:val="ro-RO"/>
        </w:rPr>
        <w:t xml:space="preserve">u privire la aprobarea </w:t>
      </w:r>
      <w:r w:rsidR="00A052A6">
        <w:rPr>
          <w:rFonts w:ascii="Times New Roman" w:hAnsi="Times New Roman" w:cs="Times New Roman"/>
          <w:sz w:val="24"/>
          <w:szCs w:val="24"/>
          <w:lang w:val="ro-RO"/>
        </w:rPr>
        <w:t>personalului suplimentar"</w:t>
      </w:r>
      <w:r w:rsidR="00EC3660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EC3660" w:rsidRPr="00EC36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3660">
        <w:rPr>
          <w:rFonts w:ascii="Times New Roman" w:hAnsi="Times New Roman" w:cs="Times New Roman"/>
          <w:sz w:val="24"/>
          <w:szCs w:val="24"/>
          <w:lang w:val="ro-RO"/>
        </w:rPr>
        <w:t>Decizia nr.8.12 din 17.07.2020 "Cu privire la aprobarea statelor Primăriei Orhei",</w:t>
      </w:r>
      <w:r w:rsidR="00FE1A5F">
        <w:rPr>
          <w:rFonts w:ascii="Times New Roman" w:hAnsi="Times New Roman" w:cs="Times New Roman"/>
          <w:sz w:val="24"/>
          <w:szCs w:val="24"/>
          <w:lang w:val="ro-RO"/>
        </w:rPr>
        <w:t xml:space="preserve"> luând în considerație nota informativă prezentată, la propunerea viceprimarului municipiului Orhei pe domeniul economie, buget și finanțe, </w:t>
      </w:r>
    </w:p>
    <w:p w:rsidR="00FE1A5F" w:rsidRDefault="00FE1A5F" w:rsidP="00FE1A5F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DECIDE:</w:t>
      </w:r>
    </w:p>
    <w:p w:rsidR="00FE1A5F" w:rsidRDefault="00FE1A5F" w:rsidP="00FE1A5F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FE1A5F" w:rsidRDefault="00FE1A5F" w:rsidP="00FE1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aprobă personalul suplimentar al Primăriei municipiului Orhei în număr de </w:t>
      </w:r>
      <w:r w:rsidRPr="0086265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862650" w:rsidRPr="0086265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862650">
        <w:rPr>
          <w:rFonts w:ascii="Times New Roman" w:hAnsi="Times New Roman" w:cs="Times New Roman"/>
          <w:sz w:val="24"/>
          <w:szCs w:val="24"/>
          <w:lang w:val="ro-RO"/>
        </w:rPr>
        <w:t>,0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unități de personal conform anexei la prezenta decizie.</w:t>
      </w:r>
    </w:p>
    <w:p w:rsidR="00FE1A5F" w:rsidRDefault="00FE1A5F" w:rsidP="00FE1A5F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E1A5F" w:rsidRDefault="00FE1A5F" w:rsidP="00FE1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Autoritatea executivă va efectua calculele respective în conformitate cu statele suplimentare de personal aprobate pentru achitarea drepturilor salariale ale angajaților instituției din sursele bugetului local.</w:t>
      </w:r>
    </w:p>
    <w:p w:rsidR="00FE1A5F" w:rsidRDefault="00FE1A5F" w:rsidP="00FE1A5F">
      <w:pPr>
        <w:pStyle w:val="a4"/>
        <w:rPr>
          <w:rFonts w:cs="Times New Roman"/>
          <w:szCs w:val="24"/>
          <w:lang w:val="ro-RO"/>
        </w:rPr>
      </w:pPr>
    </w:p>
    <w:p w:rsidR="00FE1A5F" w:rsidRDefault="00E14FCA" w:rsidP="00FE1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abrogă</w:t>
      </w:r>
      <w:r w:rsidR="006256E3">
        <w:rPr>
          <w:rFonts w:ascii="Times New Roman" w:hAnsi="Times New Roman" w:cs="Times New Roman"/>
          <w:sz w:val="24"/>
          <w:szCs w:val="24"/>
          <w:lang w:val="ro-RO"/>
        </w:rPr>
        <w:t xml:space="preserve"> decizia Consiliului municipal Orhei nr.</w:t>
      </w:r>
      <w:r w:rsidR="00A052A6">
        <w:rPr>
          <w:rFonts w:ascii="Times New Roman" w:hAnsi="Times New Roman" w:cs="Times New Roman"/>
          <w:sz w:val="24"/>
          <w:szCs w:val="24"/>
          <w:lang w:val="ro-RO"/>
        </w:rPr>
        <w:t>2.1</w:t>
      </w:r>
      <w:r w:rsidR="006256E3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A052A6">
        <w:rPr>
          <w:rFonts w:ascii="Times New Roman" w:hAnsi="Times New Roman" w:cs="Times New Roman"/>
          <w:sz w:val="24"/>
          <w:szCs w:val="24"/>
          <w:lang w:val="ro-RO"/>
        </w:rPr>
        <w:t>05.03.2020</w:t>
      </w:r>
      <w:r w:rsidR="006256E3">
        <w:rPr>
          <w:rFonts w:ascii="Times New Roman" w:hAnsi="Times New Roman" w:cs="Times New Roman"/>
          <w:sz w:val="24"/>
          <w:szCs w:val="24"/>
          <w:lang w:val="ro-RO"/>
        </w:rPr>
        <w:t xml:space="preserve"> "Cu privire la aprobarea personalului suplimentar".</w:t>
      </w:r>
    </w:p>
    <w:p w:rsidR="006256E3" w:rsidRDefault="006256E3" w:rsidP="006256E3">
      <w:pPr>
        <w:pStyle w:val="a4"/>
        <w:rPr>
          <w:rFonts w:cs="Times New Roman"/>
          <w:szCs w:val="24"/>
          <w:lang w:val="ro-RO"/>
        </w:rPr>
      </w:pPr>
    </w:p>
    <w:p w:rsidR="006256E3" w:rsidRDefault="006256E3" w:rsidP="00FE1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Prezenta decizie intră în vigoare la data includerii în Registrul de stat al actelor locale și poate fi atacată în Judecătoria Orhei în termen de 30 zile din data comunicării</w:t>
      </w:r>
      <w:r w:rsidR="00A052A6">
        <w:rPr>
          <w:rFonts w:ascii="Times New Roman" w:hAnsi="Times New Roman" w:cs="Times New Roman"/>
          <w:sz w:val="24"/>
          <w:szCs w:val="24"/>
          <w:lang w:val="ro-RO"/>
        </w:rPr>
        <w:t>, în conformitate cu procedura stabilită de Codul Administrativ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256E3" w:rsidRDefault="006256E3" w:rsidP="006256E3">
      <w:pPr>
        <w:pStyle w:val="a4"/>
        <w:rPr>
          <w:rFonts w:cs="Times New Roman"/>
          <w:szCs w:val="24"/>
          <w:lang w:val="ro-RO"/>
        </w:rPr>
      </w:pPr>
    </w:p>
    <w:p w:rsidR="006256E3" w:rsidRDefault="006256E3" w:rsidP="00FE1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Controlul asupra executării prezentei decizii revine viceprimarului municipiului Orhei dna Anastasia ȚURCAN.</w:t>
      </w:r>
    </w:p>
    <w:p w:rsidR="008408EE" w:rsidRDefault="008408EE" w:rsidP="008408EE">
      <w:pPr>
        <w:pStyle w:val="a4"/>
        <w:rPr>
          <w:rFonts w:cs="Times New Roman"/>
          <w:szCs w:val="24"/>
          <w:lang w:val="ro-RO"/>
        </w:rPr>
      </w:pPr>
    </w:p>
    <w:p w:rsidR="00C359B8" w:rsidRDefault="00C359B8" w:rsidP="00C359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 al municipiului Orhei                                                                             Pavel VEREJANU</w:t>
      </w:r>
    </w:p>
    <w:p w:rsidR="00C359B8" w:rsidRDefault="00C359B8" w:rsidP="00C359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                                                                                                      Anastasia ȚURCAN</w:t>
      </w:r>
    </w:p>
    <w:p w:rsidR="00C359B8" w:rsidRDefault="00C359B8" w:rsidP="00C359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                                                                                                        Valerian CRISTEA</w:t>
      </w:r>
    </w:p>
    <w:p w:rsidR="00C359B8" w:rsidRDefault="00C359B8" w:rsidP="00C359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                                                                                                      Cristina COJOCARI</w:t>
      </w:r>
    </w:p>
    <w:p w:rsidR="00C359B8" w:rsidRDefault="00C359B8" w:rsidP="00C359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Specialist principal                                                                                  Svetlana ZINICOVSCHI</w:t>
      </w:r>
    </w:p>
    <w:p w:rsidR="00C359B8" w:rsidRDefault="00C359B8" w:rsidP="00C359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Specialist principal                                                                                                   Grigore MÎRA</w:t>
      </w:r>
    </w:p>
    <w:p w:rsidR="00C359B8" w:rsidRDefault="00C359B8" w:rsidP="00C359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Specialist principal                                                                                            Olga ZGUREANU</w:t>
      </w:r>
    </w:p>
    <w:p w:rsidR="00C359B8" w:rsidRDefault="00C359B8" w:rsidP="00C359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al Consiliului municipal Orhei                                                       Ala BURACOVSCHI</w:t>
      </w:r>
    </w:p>
    <w:p w:rsidR="00C359B8" w:rsidRDefault="00C359B8" w:rsidP="00C359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Autor: specialist principal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Natalia NEGRU</w:t>
      </w:r>
    </w:p>
    <w:p w:rsidR="00A052A6" w:rsidRDefault="00C359B8" w:rsidP="00C359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Specialist principal                                                                                     Alina TRUSOVSCAIA </w:t>
      </w:r>
    </w:p>
    <w:p w:rsidR="008408EE" w:rsidRDefault="008408EE" w:rsidP="008408EE">
      <w:pPr>
        <w:ind w:firstLine="708"/>
        <w:jc w:val="right"/>
        <w:rPr>
          <w:lang w:val="ro-MO"/>
        </w:rPr>
      </w:pPr>
      <w:r>
        <w:rPr>
          <w:lang w:val="ro-MO"/>
        </w:rPr>
        <w:lastRenderedPageBreak/>
        <w:t xml:space="preserve">Anexă la decizia </w:t>
      </w:r>
    </w:p>
    <w:p w:rsidR="008408EE" w:rsidRDefault="008408EE" w:rsidP="008408EE">
      <w:pPr>
        <w:ind w:firstLine="708"/>
        <w:jc w:val="right"/>
        <w:rPr>
          <w:lang w:val="ro-MO"/>
        </w:rPr>
      </w:pPr>
      <w:r>
        <w:rPr>
          <w:lang w:val="ro-MO"/>
        </w:rPr>
        <w:t>nr.__________ din__________________</w:t>
      </w:r>
    </w:p>
    <w:p w:rsidR="008408EE" w:rsidRDefault="008408EE" w:rsidP="008408EE">
      <w:pPr>
        <w:ind w:firstLine="708"/>
        <w:jc w:val="right"/>
        <w:rPr>
          <w:lang w:val="ro-MO"/>
        </w:rPr>
      </w:pPr>
    </w:p>
    <w:p w:rsidR="008408EE" w:rsidRDefault="008408EE" w:rsidP="008408EE">
      <w:pPr>
        <w:ind w:firstLine="708"/>
        <w:jc w:val="right"/>
        <w:rPr>
          <w:lang w:val="ro-MO"/>
        </w:rPr>
      </w:pPr>
    </w:p>
    <w:p w:rsidR="008408EE" w:rsidRDefault="008408EE" w:rsidP="008408EE">
      <w:pPr>
        <w:ind w:firstLine="708"/>
        <w:jc w:val="right"/>
        <w:rPr>
          <w:lang w:val="ro-MO"/>
        </w:rPr>
      </w:pPr>
    </w:p>
    <w:p w:rsidR="008408EE" w:rsidRDefault="008408EE" w:rsidP="008408EE">
      <w:pPr>
        <w:ind w:firstLine="708"/>
        <w:jc w:val="right"/>
        <w:rPr>
          <w:lang w:val="ro-MO"/>
        </w:rPr>
      </w:pPr>
    </w:p>
    <w:p w:rsidR="008408EE" w:rsidRDefault="008408EE" w:rsidP="008408EE">
      <w:pPr>
        <w:ind w:firstLine="708"/>
        <w:jc w:val="right"/>
        <w:rPr>
          <w:lang w:val="ro-MO"/>
        </w:rPr>
      </w:pPr>
    </w:p>
    <w:p w:rsidR="008408EE" w:rsidRDefault="008408EE" w:rsidP="008408EE">
      <w:pPr>
        <w:ind w:firstLine="708"/>
        <w:jc w:val="center"/>
        <w:rPr>
          <w:lang w:val="ro-MO"/>
        </w:rPr>
      </w:pPr>
      <w:r>
        <w:rPr>
          <w:lang w:val="ro-MO"/>
        </w:rPr>
        <w:t>Personal suplimentar al Primăriei municipiului Orhei</w:t>
      </w:r>
    </w:p>
    <w:p w:rsidR="008408EE" w:rsidRDefault="008408EE" w:rsidP="008408EE">
      <w:pPr>
        <w:ind w:firstLine="708"/>
        <w:jc w:val="center"/>
        <w:rPr>
          <w:lang w:val="ro-MO"/>
        </w:rPr>
      </w:pPr>
    </w:p>
    <w:p w:rsidR="008408EE" w:rsidRDefault="008408EE" w:rsidP="008408EE">
      <w:pPr>
        <w:ind w:firstLine="708"/>
        <w:jc w:val="center"/>
        <w:rPr>
          <w:lang w:val="ro-MO"/>
        </w:rPr>
      </w:pPr>
    </w:p>
    <w:p w:rsidR="008408EE" w:rsidRDefault="008408EE" w:rsidP="008408EE">
      <w:pPr>
        <w:ind w:firstLine="708"/>
        <w:jc w:val="center"/>
        <w:rPr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933"/>
        <w:gridCol w:w="3526"/>
        <w:gridCol w:w="1236"/>
      </w:tblGrid>
      <w:tr w:rsidR="008408EE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b/>
                <w:lang w:val="ro-MO"/>
              </w:rPr>
            </w:pPr>
            <w:proofErr w:type="spellStart"/>
            <w:r>
              <w:rPr>
                <w:b/>
                <w:lang w:val="ro-MO"/>
              </w:rPr>
              <w:t>Nr.d</w:t>
            </w:r>
            <w:proofErr w:type="spellEnd"/>
            <w:r>
              <w:rPr>
                <w:b/>
                <w:lang w:val="ro-MO"/>
              </w:rPr>
              <w:t>/o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b/>
                <w:lang w:val="ro-MO"/>
              </w:rPr>
            </w:pPr>
            <w:r>
              <w:rPr>
                <w:b/>
                <w:lang w:val="ro-MO"/>
              </w:rPr>
              <w:t>Domeniul de activitate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b/>
                <w:lang w:val="ro-MO"/>
              </w:rPr>
            </w:pPr>
            <w:r>
              <w:rPr>
                <w:b/>
                <w:lang w:val="ro-MO"/>
              </w:rPr>
              <w:t>Funcția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b/>
                <w:lang w:val="ro-MO"/>
              </w:rPr>
            </w:pPr>
            <w:proofErr w:type="spellStart"/>
            <w:r>
              <w:rPr>
                <w:b/>
                <w:lang w:val="ro-MO"/>
              </w:rPr>
              <w:t>Nr.unități</w:t>
            </w:r>
            <w:proofErr w:type="spellEnd"/>
          </w:p>
        </w:tc>
      </w:tr>
      <w:tr w:rsidR="008408EE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Construcții și infrastructură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Viceprimar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8408EE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Social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Viceprimar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8408EE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Evidență contabilă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8408EE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Achiziții publice și planificare cheltuieli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8408EE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Atragere investiții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8408EE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6.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Planificare venituri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E" w:rsidRDefault="008408EE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2F1156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6" w:rsidRDefault="002F1156">
            <w:pPr>
              <w:rPr>
                <w:lang w:val="ro-MO"/>
              </w:rPr>
            </w:pPr>
            <w:r>
              <w:rPr>
                <w:lang w:val="ro-MO"/>
              </w:rPr>
              <w:t>7.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6" w:rsidRPr="002F1156" w:rsidRDefault="002F1156">
            <w:pPr>
              <w:rPr>
                <w:lang w:val="ro-RO"/>
              </w:rPr>
            </w:pPr>
            <w:r>
              <w:rPr>
                <w:lang w:val="ro-MO"/>
              </w:rPr>
              <w:t>Administrare economică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6" w:rsidRDefault="002F1156" w:rsidP="005027E6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6" w:rsidRDefault="002F1156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2F1156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6" w:rsidRDefault="002F1156">
            <w:pPr>
              <w:rPr>
                <w:lang w:val="ro-MO"/>
              </w:rPr>
            </w:pPr>
            <w:r>
              <w:rPr>
                <w:lang w:val="ro-MO"/>
              </w:rPr>
              <w:t>8.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6" w:rsidRDefault="002F1156" w:rsidP="00470DC3">
            <w:pPr>
              <w:rPr>
                <w:lang w:val="ro-MO"/>
              </w:rPr>
            </w:pPr>
            <w:r>
              <w:rPr>
                <w:lang w:val="ro-MO"/>
              </w:rPr>
              <w:t>Instituții de învățământ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6" w:rsidRDefault="002F1156" w:rsidP="00470DC3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6" w:rsidRDefault="002F1156" w:rsidP="00470DC3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2F1156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6" w:rsidRDefault="002F1156">
            <w:pPr>
              <w:rPr>
                <w:lang w:val="ro-MO"/>
              </w:rPr>
            </w:pPr>
            <w:r>
              <w:rPr>
                <w:lang w:val="ro-MO"/>
              </w:rPr>
              <w:t>9.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56" w:rsidRDefault="002F1156" w:rsidP="00BF2360">
            <w:pPr>
              <w:rPr>
                <w:lang w:val="ro-MO"/>
              </w:rPr>
            </w:pPr>
            <w:r>
              <w:rPr>
                <w:lang w:val="ro-MO"/>
              </w:rPr>
              <w:t>Arhitectură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6" w:rsidRDefault="002F1156" w:rsidP="00BF2360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56" w:rsidRDefault="002F1156" w:rsidP="00BF2360">
            <w:pPr>
              <w:rPr>
                <w:lang w:val="ro-MO"/>
              </w:rPr>
            </w:pPr>
            <w:r>
              <w:rPr>
                <w:lang w:val="ro-MO"/>
              </w:rPr>
              <w:t>4</w:t>
            </w:r>
          </w:p>
        </w:tc>
      </w:tr>
      <w:tr w:rsidR="00862650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>
            <w:pPr>
              <w:rPr>
                <w:lang w:val="ro-MO"/>
              </w:rPr>
            </w:pPr>
            <w:r>
              <w:rPr>
                <w:lang w:val="ro-MO"/>
              </w:rPr>
              <w:t>10.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50" w:rsidRDefault="00862650" w:rsidP="00F02EE0">
            <w:pPr>
              <w:rPr>
                <w:lang w:val="ro-MO"/>
              </w:rPr>
            </w:pPr>
            <w:r>
              <w:rPr>
                <w:lang w:val="ro-MO"/>
              </w:rPr>
              <w:t>Reglementare regim funciar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F02EE0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F02EE0">
            <w:pPr>
              <w:rPr>
                <w:lang w:val="ro-MO"/>
              </w:rPr>
            </w:pPr>
            <w:r>
              <w:rPr>
                <w:lang w:val="ro-MO"/>
              </w:rPr>
              <w:t>2</w:t>
            </w:r>
          </w:p>
        </w:tc>
      </w:tr>
      <w:tr w:rsidR="00862650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>
            <w:pPr>
              <w:rPr>
                <w:lang w:val="ro-MO"/>
              </w:rPr>
            </w:pPr>
            <w:r>
              <w:rPr>
                <w:lang w:val="ro-MO"/>
              </w:rPr>
              <w:t>11.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Relații cu publicul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4</w:t>
            </w:r>
          </w:p>
        </w:tc>
      </w:tr>
      <w:tr w:rsidR="00862650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>
            <w:pPr>
              <w:rPr>
                <w:lang w:val="ro-MO"/>
              </w:rPr>
            </w:pPr>
            <w:r>
              <w:rPr>
                <w:lang w:val="ro-MO"/>
              </w:rPr>
              <w:t>12.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Construcție și infrastructură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2</w:t>
            </w:r>
          </w:p>
        </w:tc>
      </w:tr>
      <w:tr w:rsidR="00862650" w:rsidTr="00EE00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>
            <w:pPr>
              <w:rPr>
                <w:lang w:val="ro-MO"/>
              </w:rPr>
            </w:pPr>
            <w:r>
              <w:rPr>
                <w:lang w:val="ro-MO"/>
              </w:rPr>
              <w:t>13.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Recrutare și încorporare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862650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>
            <w:pPr>
              <w:rPr>
                <w:lang w:val="ro-MO"/>
              </w:rPr>
            </w:pPr>
            <w:r>
              <w:rPr>
                <w:lang w:val="ro-MO"/>
              </w:rPr>
              <w:t>14.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Asistență juridică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862650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>
            <w:pPr>
              <w:rPr>
                <w:lang w:val="ro-MO"/>
              </w:rPr>
            </w:pPr>
            <w:r>
              <w:rPr>
                <w:lang w:val="ro-MO"/>
              </w:rPr>
              <w:t>15.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Arhivare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862650" w:rsidTr="00EE00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>
            <w:pPr>
              <w:rPr>
                <w:lang w:val="ro-MO"/>
              </w:rPr>
            </w:pPr>
            <w:r>
              <w:rPr>
                <w:lang w:val="ro-MO"/>
              </w:rPr>
              <w:t>16.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Resurse programate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2</w:t>
            </w:r>
          </w:p>
        </w:tc>
      </w:tr>
      <w:tr w:rsidR="00862650" w:rsidTr="00EE00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>
            <w:pPr>
              <w:rPr>
                <w:lang w:val="ro-MO"/>
              </w:rPr>
            </w:pPr>
            <w:r>
              <w:rPr>
                <w:lang w:val="ro-MO"/>
              </w:rPr>
              <w:t>17.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Operare CIPS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Specialist principal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3</w:t>
            </w:r>
          </w:p>
        </w:tc>
      </w:tr>
      <w:tr w:rsidR="00862650" w:rsidTr="00EE00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>
            <w:pPr>
              <w:rPr>
                <w:lang w:val="ro-MO"/>
              </w:rPr>
            </w:pPr>
            <w:r>
              <w:rPr>
                <w:lang w:val="ro-MO"/>
              </w:rPr>
              <w:t>18.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50" w:rsidRDefault="00862650" w:rsidP="00BD725B">
            <w:pPr>
              <w:rPr>
                <w:lang w:val="ro-MO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Secretar administrativ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862650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>
            <w:pPr>
              <w:rPr>
                <w:lang w:val="ro-MO"/>
              </w:rPr>
            </w:pPr>
            <w:r>
              <w:rPr>
                <w:lang w:val="ro-MO"/>
              </w:rPr>
              <w:t>19.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0" w:rsidRDefault="00862650" w:rsidP="00BD725B">
            <w:pPr>
              <w:rPr>
                <w:lang w:val="ro-MO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Conducător auto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BD725B">
            <w:pPr>
              <w:rPr>
                <w:lang w:val="ro-MO"/>
              </w:rPr>
            </w:pPr>
            <w:r>
              <w:rPr>
                <w:lang w:val="ro-MO"/>
              </w:rPr>
              <w:t>1</w:t>
            </w:r>
          </w:p>
        </w:tc>
      </w:tr>
      <w:tr w:rsidR="00862650" w:rsidTr="008408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>
            <w:pPr>
              <w:rPr>
                <w:lang w:val="ro-MO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>
            <w:pPr>
              <w:rPr>
                <w:lang w:val="ro-MO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>
            <w:pPr>
              <w:rPr>
                <w:b/>
                <w:lang w:val="ro-MO"/>
              </w:rPr>
            </w:pPr>
            <w:r>
              <w:rPr>
                <w:b/>
                <w:lang w:val="ro-MO"/>
              </w:rPr>
              <w:t>Total unități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50" w:rsidRDefault="00862650" w:rsidP="00862650">
            <w:pPr>
              <w:rPr>
                <w:lang w:val="ro-MO"/>
              </w:rPr>
            </w:pPr>
            <w:r>
              <w:rPr>
                <w:lang w:val="ro-MO"/>
              </w:rPr>
              <w:t>30,0</w:t>
            </w:r>
          </w:p>
        </w:tc>
      </w:tr>
    </w:tbl>
    <w:p w:rsidR="008408EE" w:rsidRDefault="008408EE" w:rsidP="008408EE">
      <w:pPr>
        <w:ind w:firstLine="708"/>
        <w:jc w:val="center"/>
        <w:rPr>
          <w:lang w:val="ro-MO"/>
        </w:rPr>
      </w:pPr>
    </w:p>
    <w:p w:rsidR="008408EE" w:rsidRDefault="008408EE" w:rsidP="008408EE">
      <w:pPr>
        <w:ind w:firstLine="708"/>
        <w:jc w:val="center"/>
        <w:rPr>
          <w:lang w:val="ro-MO"/>
        </w:rPr>
      </w:pPr>
    </w:p>
    <w:p w:rsidR="008408EE" w:rsidRDefault="008408EE" w:rsidP="008408EE">
      <w:pPr>
        <w:rPr>
          <w:lang w:val="ro-MO"/>
        </w:rPr>
      </w:pPr>
    </w:p>
    <w:p w:rsidR="008408EE" w:rsidRDefault="008408EE" w:rsidP="008408EE">
      <w:pPr>
        <w:rPr>
          <w:lang w:val="ro-MO"/>
        </w:rPr>
      </w:pPr>
    </w:p>
    <w:p w:rsidR="008408EE" w:rsidRDefault="008408EE" w:rsidP="008408EE">
      <w:pPr>
        <w:rPr>
          <w:lang w:val="ro-MO"/>
        </w:rPr>
      </w:pPr>
    </w:p>
    <w:p w:rsidR="008408EE" w:rsidRDefault="008408EE" w:rsidP="008408EE">
      <w:pPr>
        <w:rPr>
          <w:lang w:val="ro-MO"/>
        </w:rPr>
      </w:pPr>
      <w:r>
        <w:rPr>
          <w:lang w:val="ro-MO"/>
        </w:rPr>
        <w:t>Ex:Natalia NEGRU</w:t>
      </w:r>
    </w:p>
    <w:p w:rsidR="008408EE" w:rsidRDefault="008408EE" w:rsidP="008408EE">
      <w:pPr>
        <w:rPr>
          <w:lang w:val="ro-MO"/>
        </w:rPr>
      </w:pPr>
    </w:p>
    <w:p w:rsidR="008408EE" w:rsidRDefault="008408EE" w:rsidP="008408EE">
      <w:pPr>
        <w:rPr>
          <w:lang w:val="ro-MO"/>
        </w:rPr>
      </w:pPr>
    </w:p>
    <w:p w:rsidR="008408EE" w:rsidRDefault="008408EE" w:rsidP="008408EE">
      <w:pPr>
        <w:rPr>
          <w:lang w:val="ro-MO"/>
        </w:rPr>
      </w:pPr>
      <w:r>
        <w:rPr>
          <w:lang w:val="ro-MO"/>
        </w:rPr>
        <w:t xml:space="preserve">Specialist principal (planificare) </w:t>
      </w:r>
    </w:p>
    <w:p w:rsidR="008408EE" w:rsidRDefault="008408EE" w:rsidP="008408EE">
      <w:pPr>
        <w:rPr>
          <w:lang w:val="ro-MO"/>
        </w:rPr>
      </w:pPr>
      <w:r>
        <w:rPr>
          <w:lang w:val="ro-MO"/>
        </w:rPr>
        <w:t>Olga ZGUREANU</w:t>
      </w:r>
    </w:p>
    <w:p w:rsidR="008408EE" w:rsidRDefault="008408EE" w:rsidP="008408E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350" w:rsidRDefault="00FF7350" w:rsidP="008408E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350" w:rsidRDefault="00FF7350" w:rsidP="008408E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350" w:rsidRDefault="00FF7350" w:rsidP="008408E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350" w:rsidRDefault="00FF7350" w:rsidP="008408E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350" w:rsidRDefault="00FF7350" w:rsidP="008408E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350" w:rsidRDefault="00FF7350" w:rsidP="008408E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350" w:rsidRDefault="00FF7350" w:rsidP="008408E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350" w:rsidRDefault="00FF7350" w:rsidP="008408E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350" w:rsidRDefault="00FF7350" w:rsidP="008408E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350" w:rsidRDefault="00FF7350" w:rsidP="008408E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350" w:rsidRDefault="00FF7350" w:rsidP="00FF7350">
      <w:pPr>
        <w:jc w:val="center"/>
        <w:rPr>
          <w:lang w:val="ro-MO"/>
        </w:rPr>
      </w:pPr>
      <w:r>
        <w:rPr>
          <w:lang w:val="ro-MO"/>
        </w:rPr>
        <w:t>NOTĂ INFORMATIVĂ</w:t>
      </w:r>
    </w:p>
    <w:p w:rsidR="00FF7350" w:rsidRDefault="00FF7350" w:rsidP="00FF7350">
      <w:pPr>
        <w:jc w:val="center"/>
        <w:rPr>
          <w:sz w:val="22"/>
          <w:szCs w:val="22"/>
          <w:u w:val="single"/>
          <w:lang w:val="ro-MO"/>
        </w:rPr>
      </w:pPr>
      <w:r>
        <w:rPr>
          <w:sz w:val="22"/>
          <w:szCs w:val="22"/>
          <w:lang w:val="ro-MO"/>
        </w:rPr>
        <w:t>la proiectul de Decizie nr.</w:t>
      </w:r>
      <w:r>
        <w:rPr>
          <w:sz w:val="22"/>
          <w:szCs w:val="22"/>
          <w:u w:val="single"/>
          <w:lang w:val="ro-MO"/>
        </w:rPr>
        <w:t xml:space="preserve">             </w:t>
      </w:r>
      <w:r>
        <w:rPr>
          <w:sz w:val="22"/>
          <w:szCs w:val="22"/>
          <w:lang w:val="ro-MO"/>
        </w:rPr>
        <w:t xml:space="preserve"> din </w:t>
      </w:r>
      <w:r>
        <w:rPr>
          <w:sz w:val="22"/>
          <w:szCs w:val="22"/>
          <w:u w:val="single"/>
          <w:lang w:val="ro-MO"/>
        </w:rPr>
        <w:t xml:space="preserve">                      2021 </w:t>
      </w:r>
    </w:p>
    <w:p w:rsidR="00FF7350" w:rsidRDefault="00FF7350" w:rsidP="00FF7350">
      <w:pPr>
        <w:jc w:val="center"/>
        <w:rPr>
          <w:sz w:val="22"/>
          <w:szCs w:val="22"/>
          <w:lang w:val="ro-MO"/>
        </w:rPr>
      </w:pPr>
      <w:r>
        <w:rPr>
          <w:sz w:val="22"/>
          <w:szCs w:val="22"/>
          <w:lang w:val="ro-MO"/>
        </w:rPr>
        <w:t>"</w:t>
      </w:r>
      <w:proofErr w:type="spellStart"/>
      <w:r>
        <w:t>Cu</w:t>
      </w:r>
      <w:proofErr w:type="spellEnd"/>
      <w:r>
        <w:t xml:space="preserve"> </w:t>
      </w:r>
      <w:proofErr w:type="spellStart"/>
      <w:r>
        <w:t>privire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Orhei</w:t>
      </w:r>
      <w:proofErr w:type="spellEnd"/>
      <w:r>
        <w:rPr>
          <w:sz w:val="22"/>
          <w:szCs w:val="22"/>
          <w:lang w:val="ro-MO"/>
        </w:rPr>
        <w:t>"</w:t>
      </w:r>
    </w:p>
    <w:p w:rsidR="00FF7350" w:rsidRDefault="00FF7350" w:rsidP="00FF7350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53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1"/>
      </w:tblGrid>
      <w:tr w:rsidR="00FF7350" w:rsidTr="00FF7350">
        <w:trPr>
          <w:trHeight w:val="5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0" w:rsidRDefault="00FF7350" w:rsidP="00FF7350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line="276" w:lineRule="auto"/>
              <w:ind w:left="0" w:firstLine="0"/>
              <w:jc w:val="both"/>
              <w:rPr>
                <w:b/>
                <w:lang w:val="ro-MO" w:eastAsia="ro-RO"/>
              </w:rPr>
            </w:pPr>
            <w:r>
              <w:rPr>
                <w:b/>
                <w:lang w:val="ro-MO"/>
              </w:rPr>
              <w:t>Denumirea autorului şi, după caz, a participanţilor la elaborarea proiectului:</w:t>
            </w:r>
          </w:p>
          <w:p w:rsidR="00FF7350" w:rsidRDefault="00FF7350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Specialist principal Natalia NEGRU;</w:t>
            </w:r>
          </w:p>
          <w:p w:rsidR="00FF7350" w:rsidRDefault="00FF7350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Coordonat cu specialistul principal Olga ZGUREANU;</w:t>
            </w:r>
          </w:p>
          <w:p w:rsidR="00FF7350" w:rsidRDefault="00FF7350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Cu suportul serviciului juridic - specialist principal Grigore MÎRA.</w:t>
            </w:r>
          </w:p>
          <w:p w:rsidR="00FF7350" w:rsidRDefault="00FF7350">
            <w:pPr>
              <w:spacing w:line="276" w:lineRule="auto"/>
              <w:jc w:val="both"/>
              <w:rPr>
                <w:lang w:val="ro-MO" w:eastAsia="ro-RO"/>
              </w:rPr>
            </w:pPr>
            <w:r>
              <w:rPr>
                <w:lang w:val="ro-MO"/>
              </w:rPr>
              <w:t>Viceprimar al municipiului Orhei – dna Anastasia ȚURCANU</w:t>
            </w:r>
          </w:p>
        </w:tc>
      </w:tr>
      <w:tr w:rsidR="00FF7350" w:rsidTr="00FF73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0" w:rsidRDefault="00FF7350" w:rsidP="00FF7350">
            <w:pPr>
              <w:numPr>
                <w:ilvl w:val="3"/>
                <w:numId w:val="2"/>
              </w:numPr>
              <w:tabs>
                <w:tab w:val="num" w:pos="426"/>
                <w:tab w:val="left" w:pos="884"/>
                <w:tab w:val="left" w:pos="1196"/>
              </w:tabs>
              <w:ind w:hanging="2880"/>
              <w:rPr>
                <w:b/>
                <w:lang w:val="ro-MO" w:eastAsia="ro-RO"/>
              </w:rPr>
            </w:pPr>
            <w:r>
              <w:rPr>
                <w:b/>
                <w:lang w:val="ro-MO"/>
              </w:rPr>
              <w:t>Condiţiile ce au impus elaborarea proiectului de act normativ şi finalităţile urmărite:</w:t>
            </w:r>
          </w:p>
          <w:p w:rsidR="00FF7350" w:rsidRDefault="00FF7350">
            <w:pPr>
              <w:pStyle w:val="a5"/>
              <w:ind w:firstLine="0"/>
              <w:rPr>
                <w:lang w:val="ro-MO"/>
              </w:rPr>
            </w:pPr>
            <w:r>
              <w:rPr>
                <w:lang w:val="ro-MO"/>
              </w:rPr>
              <w:t xml:space="preserve">Luând în considerație procesul de activitate a Primăriei municipiului Orhei, a apărut necesitatea instituirii/excluderii unor anumite funcții, fapt ce a impus Primăria municipiului Orhei la elaborarea proiectului dat "Cu privire la aprobarea personalului suplimentar" </w:t>
            </w:r>
            <w:r>
              <w:rPr>
                <w:rFonts w:ascii="Cambria Math" w:hAnsi="Cambria Math"/>
                <w:lang w:val="ro-MO"/>
              </w:rPr>
              <w:t>ș</w:t>
            </w:r>
            <w:r>
              <w:rPr>
                <w:lang w:val="ro-MO"/>
              </w:rPr>
              <w:t>i abrogarea deciziei Consiliului municipal Orhei nr.2.1 din 05.03.2020 „</w:t>
            </w:r>
            <w:r>
              <w:rPr>
                <w:lang w:val="ro-MO"/>
              </w:rPr>
              <w:softHyphen/>
              <w:t xml:space="preserve">Cu privire la  aprobarea personalului suplimentar”. </w:t>
            </w:r>
          </w:p>
        </w:tc>
      </w:tr>
      <w:tr w:rsidR="00FF7350" w:rsidTr="00FF73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0" w:rsidRDefault="00FF7350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i/>
                <w:lang w:val="ro-MO" w:eastAsia="ro-RO"/>
              </w:rPr>
            </w:pPr>
            <w:r>
              <w:rPr>
                <w:b/>
                <w:lang w:val="ro-MO"/>
              </w:rPr>
              <w:t>3. Principalele prevederi ale proiectului şi evidenţierea elementelor noi:</w:t>
            </w:r>
            <w:r>
              <w:rPr>
                <w:lang w:val="ro-MO"/>
              </w:rPr>
              <w:t xml:space="preserve"> </w:t>
            </w:r>
          </w:p>
          <w:p w:rsidR="00FF7350" w:rsidRDefault="00FF7350">
            <w:pPr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Principalele prevederi a proiectului de decizie constă în aprobarea personalului suplimentar, micșorarea acestuia cu 1,0 unitate </w:t>
            </w:r>
            <w:r>
              <w:rPr>
                <w:rFonts w:ascii="Cambria Math" w:hAnsi="Cambria Math"/>
                <w:lang w:val="ro-MO"/>
              </w:rPr>
              <w:t>ș</w:t>
            </w:r>
            <w:r>
              <w:rPr>
                <w:lang w:val="ro-MO"/>
              </w:rPr>
              <w:t>i abrogarea deciziei Consiliului municipal Orhei nr.2.1 din 05.03.2020 „</w:t>
            </w:r>
            <w:r>
              <w:rPr>
                <w:lang w:val="ro-MO"/>
              </w:rPr>
              <w:softHyphen/>
              <w:t xml:space="preserve">Cu privire la  aprobarea personalului suplimentar”.  </w:t>
            </w:r>
          </w:p>
          <w:p w:rsidR="00FF7350" w:rsidRDefault="00FF7350">
            <w:pPr>
              <w:jc w:val="both"/>
              <w:rPr>
                <w:b/>
                <w:lang w:val="ro-MO" w:eastAsia="ro-RO"/>
              </w:rPr>
            </w:pPr>
            <w:r>
              <w:rPr>
                <w:lang w:val="ro-MO"/>
              </w:rPr>
              <w:t>Astfel, personalul suplimentar se va stabili în număr de 30,0 unită</w:t>
            </w:r>
            <w:r>
              <w:rPr>
                <w:rFonts w:ascii="Cambria Math" w:hAnsi="Cambria Math"/>
                <w:lang w:val="ro-MO"/>
              </w:rPr>
              <w:t>ț</w:t>
            </w:r>
            <w:r>
              <w:rPr>
                <w:lang w:val="ro-MO"/>
              </w:rPr>
              <w:t>i de personal, fa</w:t>
            </w:r>
            <w:r>
              <w:rPr>
                <w:rFonts w:ascii="Cambria Math" w:hAnsi="Cambria Math"/>
                <w:lang w:val="ro-MO"/>
              </w:rPr>
              <w:t>ț</w:t>
            </w:r>
            <w:r>
              <w:rPr>
                <w:lang w:val="ro-MO"/>
              </w:rPr>
              <w:t>ă de 31,0 unită</w:t>
            </w:r>
            <w:r>
              <w:rPr>
                <w:rFonts w:ascii="Cambria Math" w:hAnsi="Cambria Math"/>
                <w:lang w:val="ro-MO"/>
              </w:rPr>
              <w:t>ț</w:t>
            </w:r>
            <w:r>
              <w:rPr>
                <w:lang w:val="ro-MO"/>
              </w:rPr>
              <w:t xml:space="preserve">i de personal suplimentar existent la zi. </w:t>
            </w:r>
          </w:p>
        </w:tc>
      </w:tr>
      <w:tr w:rsidR="00FF7350" w:rsidTr="00FF73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0" w:rsidRDefault="00FF7350">
            <w:pPr>
              <w:pStyle w:val="Default"/>
              <w:spacing w:line="276" w:lineRule="auto"/>
              <w:jc w:val="both"/>
              <w:rPr>
                <w:b/>
                <w:lang w:val="ro-MO"/>
              </w:rPr>
            </w:pPr>
            <w:r>
              <w:rPr>
                <w:b/>
                <w:lang w:val="ro-MO"/>
              </w:rPr>
              <w:t>4. Fundamentarea economico-financiară:</w:t>
            </w:r>
            <w:r>
              <w:rPr>
                <w:lang w:val="ro-MO"/>
              </w:rPr>
              <w:t xml:space="preserve"> </w:t>
            </w:r>
            <w:r>
              <w:rPr>
                <w:color w:val="auto"/>
                <w:lang w:val="ro-MO"/>
              </w:rPr>
              <w:t>Implementarea prezentului proiect nu afectează bugetul aprobat pentru anul 2021 și nu necesita cheltuieli suplimentare.</w:t>
            </w:r>
          </w:p>
        </w:tc>
      </w:tr>
      <w:tr w:rsidR="00FF7350" w:rsidTr="00FF73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0" w:rsidRDefault="00FF7350">
            <w:pPr>
              <w:spacing w:line="276" w:lineRule="auto"/>
              <w:jc w:val="both"/>
              <w:rPr>
                <w:b/>
                <w:lang w:val="ro-MO" w:eastAsia="ro-RO"/>
              </w:rPr>
            </w:pPr>
            <w:r>
              <w:rPr>
                <w:b/>
                <w:lang w:val="ro-MO"/>
              </w:rPr>
              <w:t>5. Modul de încorporare a actului în cadrul normativ în vigoare:</w:t>
            </w:r>
          </w:p>
          <w:p w:rsidR="00FF7350" w:rsidRDefault="00FF7350">
            <w:pPr>
              <w:spacing w:line="276" w:lineRule="auto"/>
              <w:jc w:val="both"/>
              <w:rPr>
                <w:b/>
                <w:lang w:val="ro-MO" w:eastAsia="ro-RO"/>
              </w:rPr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temeiul</w:t>
            </w:r>
            <w:proofErr w:type="spellEnd"/>
            <w:r>
              <w:t xml:space="preserve"> art.18, art.20, art.41 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nr.100 </w:t>
            </w:r>
            <w:proofErr w:type="spellStart"/>
            <w:r>
              <w:t>din</w:t>
            </w:r>
            <w:proofErr w:type="spellEnd"/>
            <w:r>
              <w:t xml:space="preserve"> 22.12.2017 "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privire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actele</w:t>
            </w:r>
            <w:proofErr w:type="spellEnd"/>
            <w:r>
              <w:t xml:space="preserve"> </w:t>
            </w:r>
            <w:proofErr w:type="spellStart"/>
            <w:r>
              <w:t>normative</w:t>
            </w:r>
            <w:proofErr w:type="spellEnd"/>
            <w:r>
              <w:t xml:space="preserve">", art.14 </w:t>
            </w:r>
            <w:proofErr w:type="spellStart"/>
            <w:r>
              <w:t>alin</w:t>
            </w:r>
            <w:proofErr w:type="spellEnd"/>
            <w:r>
              <w:t xml:space="preserve">.(2) </w:t>
            </w:r>
            <w:proofErr w:type="spellStart"/>
            <w:r>
              <w:t>lit.l</w:t>
            </w:r>
            <w:proofErr w:type="spellEnd"/>
            <w:r>
              <w:t xml:space="preserve">) </w:t>
            </w:r>
            <w:proofErr w:type="spellStart"/>
            <w:r>
              <w:t>din</w:t>
            </w:r>
            <w:proofErr w:type="spellEnd"/>
            <w:r>
              <w:t xml:space="preserve"> </w:t>
            </w:r>
            <w:proofErr w:type="spellStart"/>
            <w:r>
              <w:t>Legea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administrația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locală</w:t>
            </w:r>
            <w:proofErr w:type="spellEnd"/>
            <w:r>
              <w:t xml:space="preserve"> nr.463-XVI </w:t>
            </w:r>
            <w:proofErr w:type="spellStart"/>
            <w:r>
              <w:t>din</w:t>
            </w:r>
            <w:proofErr w:type="spellEnd"/>
            <w:r>
              <w:t xml:space="preserve"> 28.12.2006; </w:t>
            </w:r>
            <w:proofErr w:type="gramStart"/>
            <w:r>
              <w:t xml:space="preserve">art.7 și </w:t>
            </w:r>
            <w:proofErr w:type="spellStart"/>
            <w:r>
              <w:t>anexa</w:t>
            </w:r>
            <w:proofErr w:type="spellEnd"/>
            <w:r>
              <w:t xml:space="preserve"> nr.3 și nr.10 </w:t>
            </w:r>
            <w:proofErr w:type="spellStart"/>
            <w:r>
              <w:t>din</w:t>
            </w:r>
            <w:proofErr w:type="spellEnd"/>
            <w:r>
              <w:t xml:space="preserve"> </w:t>
            </w:r>
            <w:proofErr w:type="spellStart"/>
            <w:r>
              <w:t>Legea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sistemul</w:t>
            </w:r>
            <w:proofErr w:type="spellEnd"/>
            <w:r>
              <w:t xml:space="preserve"> </w:t>
            </w:r>
            <w:proofErr w:type="spellStart"/>
            <w:r>
              <w:t>unitar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salarizare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sectorul</w:t>
            </w:r>
            <w:proofErr w:type="spellEnd"/>
            <w:r>
              <w:t xml:space="preserve"> </w:t>
            </w:r>
            <w:proofErr w:type="spellStart"/>
            <w:r>
              <w:t>bugetar</w:t>
            </w:r>
            <w:proofErr w:type="spellEnd"/>
            <w:r>
              <w:t xml:space="preserve"> nr.270 </w:t>
            </w:r>
            <w:proofErr w:type="spellStart"/>
            <w:r>
              <w:t>din</w:t>
            </w:r>
            <w:proofErr w:type="spellEnd"/>
            <w:r>
              <w:t xml:space="preserve"> 23.11.2018,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t>conformă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Hotărârii</w:t>
            </w:r>
            <w:proofErr w:type="spellEnd"/>
            <w:r>
              <w:t xml:space="preserve"> </w:t>
            </w:r>
            <w:proofErr w:type="spellStart"/>
            <w:r>
              <w:t>Guvernului</w:t>
            </w:r>
            <w:proofErr w:type="spellEnd"/>
            <w:r>
              <w:t xml:space="preserve"> nr.1231 </w:t>
            </w:r>
            <w:proofErr w:type="spellStart"/>
            <w:r>
              <w:t>din</w:t>
            </w:r>
            <w:proofErr w:type="spellEnd"/>
            <w:r>
              <w:t xml:space="preserve"> 12.12.2018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punerea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aplicare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nr.270/2018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sistemul</w:t>
            </w:r>
            <w:proofErr w:type="spellEnd"/>
            <w:r>
              <w:t xml:space="preserve"> </w:t>
            </w:r>
            <w:proofErr w:type="spellStart"/>
            <w:r>
              <w:t>unitar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salarizare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sectorul</w:t>
            </w:r>
            <w:proofErr w:type="spellEnd"/>
            <w:r>
              <w:t xml:space="preserve"> </w:t>
            </w:r>
            <w:proofErr w:type="spellStart"/>
            <w:r>
              <w:t>bugetar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executării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drepturile</w:t>
            </w:r>
            <w:proofErr w:type="spellEnd"/>
            <w:r>
              <w:t xml:space="preserve"> </w:t>
            </w:r>
            <w:proofErr w:type="spellStart"/>
            <w:r>
              <w:t>salariale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raport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ierarhia</w:t>
            </w:r>
            <w:proofErr w:type="spellEnd"/>
            <w:r>
              <w:t xml:space="preserve"> funcțiilor </w:t>
            </w:r>
            <w:proofErr w:type="spellStart"/>
            <w:r>
              <w:t>din</w:t>
            </w:r>
            <w:proofErr w:type="spellEnd"/>
            <w:r>
              <w:t xml:space="preserve"> </w:t>
            </w:r>
            <w:proofErr w:type="spellStart"/>
            <w:r>
              <w:t>sistemul</w:t>
            </w:r>
            <w:proofErr w:type="spellEnd"/>
            <w:r>
              <w:t xml:space="preserve"> </w:t>
            </w:r>
            <w:proofErr w:type="spellStart"/>
            <w:r>
              <w:t>bugetar</w:t>
            </w:r>
            <w:proofErr w:type="spellEnd"/>
            <w:r>
              <w:t xml:space="preserve"> și </w:t>
            </w: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salarizării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instituției </w:t>
            </w:r>
            <w:proofErr w:type="spellStart"/>
            <w:r>
              <w:t>conform</w:t>
            </w:r>
            <w:proofErr w:type="spellEnd"/>
            <w:r>
              <w:t xml:space="preserve"> </w:t>
            </w:r>
            <w:proofErr w:type="spellStart"/>
            <w:r>
              <w:t>cadrului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stabilit</w:t>
            </w:r>
            <w:proofErr w:type="spellEnd"/>
            <w:r>
              <w:t xml:space="preserve">; </w:t>
            </w:r>
            <w:proofErr w:type="spellStart"/>
            <w:r>
              <w:t>Decizia</w:t>
            </w:r>
            <w:proofErr w:type="spellEnd"/>
            <w:r>
              <w:t xml:space="preserve"> nr.2.1 </w:t>
            </w:r>
            <w:proofErr w:type="spellStart"/>
            <w:r>
              <w:t>din</w:t>
            </w:r>
            <w:proofErr w:type="spellEnd"/>
            <w:r>
              <w:t xml:space="preserve"> 05.03.2020 "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privire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suplimentar</w:t>
            </w:r>
            <w:proofErr w:type="spellEnd"/>
            <w:r>
              <w:t xml:space="preserve">"; </w:t>
            </w:r>
            <w:proofErr w:type="spellStart"/>
            <w:r>
              <w:t>Decizia</w:t>
            </w:r>
            <w:proofErr w:type="spellEnd"/>
            <w:r>
              <w:t xml:space="preserve"> nr.8.12 </w:t>
            </w:r>
            <w:proofErr w:type="spellStart"/>
            <w:r>
              <w:t>din</w:t>
            </w:r>
            <w:proofErr w:type="spellEnd"/>
            <w:r>
              <w:t xml:space="preserve"> 17.07.2020 "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privire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statelor</w:t>
            </w:r>
            <w:proofErr w:type="spellEnd"/>
            <w:r>
              <w:t xml:space="preserve"> </w:t>
            </w:r>
            <w:proofErr w:type="spellStart"/>
            <w:r>
              <w:t>Primăriei</w:t>
            </w:r>
            <w:proofErr w:type="spellEnd"/>
            <w:r>
              <w:t xml:space="preserve"> </w:t>
            </w:r>
            <w:proofErr w:type="spellStart"/>
            <w:r>
              <w:t>Orhei</w:t>
            </w:r>
            <w:proofErr w:type="spellEnd"/>
            <w:r>
              <w:t>".</w:t>
            </w:r>
          </w:p>
        </w:tc>
      </w:tr>
      <w:tr w:rsidR="00FF7350" w:rsidTr="00FF73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0" w:rsidRDefault="00FF7350" w:rsidP="00FF7350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ro-MO" w:eastAsia="ro-RO"/>
              </w:rPr>
            </w:pPr>
            <w:r>
              <w:rPr>
                <w:b/>
                <w:lang w:val="ro-MO"/>
              </w:rPr>
              <w:t xml:space="preserve">6. Avizarea şi consultarea publică a proiectului: </w:t>
            </w:r>
            <w:r>
              <w:rPr>
                <w:lang w:val="ro-MO"/>
              </w:rPr>
              <w:t xml:space="preserve">Publicat proiectul pentru consultarea publică pe pagina WEB a Primăriei </w:t>
            </w:r>
          </w:p>
        </w:tc>
      </w:tr>
      <w:tr w:rsidR="00FF7350" w:rsidTr="00FF73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0" w:rsidRDefault="00FF7350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lang w:val="ro-MO" w:eastAsia="ro-RO"/>
              </w:rPr>
            </w:pPr>
            <w:r>
              <w:rPr>
                <w:b/>
                <w:lang w:val="ro-MO"/>
              </w:rPr>
              <w:t xml:space="preserve">7. Constatările expertizei anticorupție </w:t>
            </w:r>
            <w:r>
              <w:rPr>
                <w:lang w:val="ro-MO"/>
              </w:rPr>
              <w:t>Nu este cazul</w:t>
            </w:r>
          </w:p>
        </w:tc>
      </w:tr>
      <w:tr w:rsidR="00FF7350" w:rsidTr="00FF73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0" w:rsidRDefault="00FF7350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lang w:val="ro-MO" w:eastAsia="ro-RO"/>
              </w:rPr>
            </w:pPr>
            <w:r>
              <w:rPr>
                <w:b/>
                <w:lang w:val="ro-MO"/>
              </w:rPr>
              <w:t>8. Constatările expertizei de compatibilitate</w:t>
            </w:r>
            <w:r>
              <w:rPr>
                <w:lang w:val="ro-MO"/>
              </w:rPr>
              <w:t xml:space="preserve"> Nu este cazul</w:t>
            </w:r>
          </w:p>
        </w:tc>
      </w:tr>
      <w:tr w:rsidR="00FF7350" w:rsidTr="00FF73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0" w:rsidRDefault="00FF7350">
            <w:pPr>
              <w:rPr>
                <w:lang w:val="ro-MO" w:eastAsia="ro-RO"/>
              </w:rPr>
            </w:pPr>
            <w:r>
              <w:rPr>
                <w:b/>
                <w:lang w:val="ro-MO"/>
              </w:rPr>
              <w:t xml:space="preserve">9.Constatările expertizei juridice </w:t>
            </w:r>
            <w:r>
              <w:rPr>
                <w:lang w:val="ro-MO"/>
              </w:rPr>
              <w:t xml:space="preserve">Proiectul de decizie privind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suplimentar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proofErr w:type="spellStart"/>
            <w:r>
              <w:t>Primăriei</w:t>
            </w:r>
            <w:proofErr w:type="spellEnd"/>
            <w:r>
              <w:t xml:space="preserve">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Orhei</w:t>
            </w:r>
            <w:proofErr w:type="spellEnd"/>
            <w:r>
              <w:rPr>
                <w:lang w:val="ro-MO"/>
              </w:rPr>
              <w:t xml:space="preserve"> corespunde normelor legale și este avizat de specialistul principal în domeniul asistență juridică dl Grigore MÎRA.</w:t>
            </w:r>
          </w:p>
        </w:tc>
      </w:tr>
      <w:tr w:rsidR="00FF7350" w:rsidTr="00FF735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50" w:rsidRDefault="00FF7350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lang w:val="ro-MO" w:eastAsia="ro-RO"/>
              </w:rPr>
            </w:pPr>
            <w:r>
              <w:rPr>
                <w:b/>
                <w:lang w:val="ro-MO"/>
              </w:rPr>
              <w:t xml:space="preserve">10. Constatările altor expertize </w:t>
            </w:r>
            <w:r>
              <w:rPr>
                <w:lang w:val="ro-MO"/>
              </w:rPr>
              <w:t>Nu este cazul.</w:t>
            </w:r>
          </w:p>
        </w:tc>
      </w:tr>
    </w:tbl>
    <w:p w:rsidR="00FF7350" w:rsidRPr="00FF7350" w:rsidRDefault="00FF7350" w:rsidP="00FF7350">
      <w:pPr>
        <w:rPr>
          <w:lang w:val="ro-RO" w:eastAsia="ro-RO"/>
        </w:rPr>
      </w:pPr>
      <w:proofErr w:type="spellStart"/>
      <w:r>
        <w:t>Executor</w:t>
      </w:r>
      <w:proofErr w:type="spellEnd"/>
      <w:r>
        <w:rPr>
          <w:lang w:val="en-US"/>
        </w:rPr>
        <w:t>:</w:t>
      </w:r>
    </w:p>
    <w:p w:rsidR="00FF7350" w:rsidRDefault="00FF7350" w:rsidP="00FF7350">
      <w:pPr>
        <w:rPr>
          <w:lang w:val="en-US"/>
        </w:rPr>
      </w:pPr>
      <w:proofErr w:type="spellStart"/>
      <w:r>
        <w:t>Specialist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Natalia</w:t>
      </w:r>
      <w:proofErr w:type="spellEnd"/>
      <w:r>
        <w:t xml:space="preserve"> NEGRU</w:t>
      </w:r>
    </w:p>
    <w:p w:rsidR="00FF7350" w:rsidRPr="008973CA" w:rsidRDefault="00FF7350" w:rsidP="00FF73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350" w:rsidRPr="008973CA" w:rsidSect="00976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88" w:rsidRDefault="00233188" w:rsidP="00FF7350">
      <w:r>
        <w:separator/>
      </w:r>
    </w:p>
  </w:endnote>
  <w:endnote w:type="continuationSeparator" w:id="0">
    <w:p w:rsidR="00233188" w:rsidRDefault="00233188" w:rsidP="00FF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50" w:rsidRDefault="00FF73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50" w:rsidRDefault="00FF735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50" w:rsidRDefault="00FF73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88" w:rsidRDefault="00233188" w:rsidP="00FF7350">
      <w:r>
        <w:separator/>
      </w:r>
    </w:p>
  </w:footnote>
  <w:footnote w:type="continuationSeparator" w:id="0">
    <w:p w:rsidR="00233188" w:rsidRDefault="00233188" w:rsidP="00FF7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50" w:rsidRDefault="00FF735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1168099" o:spid="_x0000_s2050" type="#_x0000_t136" style="position:absolute;margin-left:0;margin-top:0;width:512.9pt;height:14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50" w:rsidRDefault="00FF735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1168100" o:spid="_x0000_s2051" type="#_x0000_t136" style="position:absolute;margin-left:0;margin-top:0;width:512.9pt;height:14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50" w:rsidRDefault="00FF735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1168098" o:spid="_x0000_s2049" type="#_x0000_t136" style="position:absolute;margin-left:0;margin-top:0;width:512.9pt;height:14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4D4"/>
    <w:multiLevelType w:val="hybridMultilevel"/>
    <w:tmpl w:val="9F4A8B98"/>
    <w:lvl w:ilvl="0" w:tplc="C840C0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3CA"/>
    <w:rsid w:val="001B0303"/>
    <w:rsid w:val="001C01FA"/>
    <w:rsid w:val="00220AFF"/>
    <w:rsid w:val="00233188"/>
    <w:rsid w:val="002700A9"/>
    <w:rsid w:val="002F1156"/>
    <w:rsid w:val="002F1D80"/>
    <w:rsid w:val="00486D1A"/>
    <w:rsid w:val="00590D97"/>
    <w:rsid w:val="006030A6"/>
    <w:rsid w:val="006256E3"/>
    <w:rsid w:val="008408EE"/>
    <w:rsid w:val="00862650"/>
    <w:rsid w:val="008973CA"/>
    <w:rsid w:val="00976671"/>
    <w:rsid w:val="00A052A6"/>
    <w:rsid w:val="00AB3689"/>
    <w:rsid w:val="00AD7A60"/>
    <w:rsid w:val="00B81702"/>
    <w:rsid w:val="00C31227"/>
    <w:rsid w:val="00C359B8"/>
    <w:rsid w:val="00E14FCA"/>
    <w:rsid w:val="00E223B3"/>
    <w:rsid w:val="00EC3660"/>
    <w:rsid w:val="00FE1A5F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D1A"/>
    <w:pPr>
      <w:spacing w:line="240" w:lineRule="auto"/>
    </w:pPr>
  </w:style>
  <w:style w:type="paragraph" w:styleId="a4">
    <w:name w:val="List Paragraph"/>
    <w:basedOn w:val="a"/>
    <w:uiPriority w:val="34"/>
    <w:qFormat/>
    <w:rsid w:val="00FE1A5F"/>
    <w:pPr>
      <w:ind w:left="720" w:right="57"/>
      <w:contextualSpacing/>
      <w:jc w:val="center"/>
    </w:pPr>
    <w:rPr>
      <w:rFonts w:eastAsiaTheme="minorHAnsi" w:cstheme="minorBidi"/>
      <w:szCs w:val="22"/>
      <w:lang w:eastAsia="en-US"/>
    </w:rPr>
  </w:style>
  <w:style w:type="paragraph" w:styleId="a5">
    <w:name w:val="Normal (Web)"/>
    <w:basedOn w:val="a"/>
    <w:uiPriority w:val="99"/>
    <w:unhideWhenUsed/>
    <w:rsid w:val="00FF7350"/>
    <w:pPr>
      <w:ind w:firstLine="567"/>
      <w:jc w:val="both"/>
    </w:pPr>
  </w:style>
  <w:style w:type="paragraph" w:customStyle="1" w:styleId="Default">
    <w:name w:val="Default"/>
    <w:uiPriority w:val="99"/>
    <w:rsid w:val="00FF7350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73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F7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2807C-D6E0-4B84-B5C1-90BF290C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RePack by SPecialiST</cp:lastModifiedBy>
  <cp:revision>12</cp:revision>
  <dcterms:created xsi:type="dcterms:W3CDTF">2020-03-06T06:10:00Z</dcterms:created>
  <dcterms:modified xsi:type="dcterms:W3CDTF">2021-04-15T11:31:00Z</dcterms:modified>
</cp:coreProperties>
</file>